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51C9917B" w14:textId="77777777" w:rsidR="00F57E01" w:rsidRDefault="00DC4C91" w:rsidP="00826F9F">
      <w:pPr>
        <w:pStyle w:val="ListParagraph"/>
        <w:numPr>
          <w:ilvl w:val="0"/>
          <w:numId w:val="1"/>
        </w:numPr>
        <w:spacing w:after="0"/>
      </w:pPr>
      <w:r w:rsidRPr="001B67BE">
        <w:t>Working group n</w:t>
      </w:r>
      <w:r w:rsidR="000B01A4" w:rsidRPr="001B67BE">
        <w:t>ame:</w:t>
      </w:r>
      <w:r w:rsidR="00826F9F" w:rsidRPr="001B67BE">
        <w:t xml:space="preserve">  </w:t>
      </w:r>
    </w:p>
    <w:p w14:paraId="4A5E1D3E" w14:textId="77777777" w:rsidR="00AF5D1B" w:rsidRDefault="00AF5D1B" w:rsidP="00AF5D1B">
      <w:pPr>
        <w:spacing w:after="0"/>
        <w:ind w:left="180" w:firstLine="720"/>
        <w:rPr>
          <w:i/>
          <w:color w:val="2E74B5" w:themeColor="accent1" w:themeShade="BF"/>
        </w:rPr>
      </w:pPr>
    </w:p>
    <w:p w14:paraId="5741F716" w14:textId="593B44C1" w:rsidR="00826F9F" w:rsidRPr="001B67BE" w:rsidRDefault="00826F9F" w:rsidP="00AF5D1B">
      <w:pPr>
        <w:spacing w:after="0"/>
        <w:ind w:left="180" w:firstLine="720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>Taxation/Revenue/Regulatory Structure Working Group</w:t>
      </w:r>
    </w:p>
    <w:p w14:paraId="007881C2" w14:textId="77777777" w:rsidR="000B01A4" w:rsidRPr="001B67BE" w:rsidRDefault="000B01A4" w:rsidP="000B01A4">
      <w:pPr>
        <w:spacing w:after="0"/>
        <w:rPr>
          <w:i/>
        </w:rPr>
      </w:pPr>
    </w:p>
    <w:p w14:paraId="64316C33" w14:textId="77777777" w:rsidR="00AF5D1B" w:rsidRDefault="00DC4C91" w:rsidP="00AF5D1B">
      <w:pPr>
        <w:pStyle w:val="ListParagraph"/>
        <w:numPr>
          <w:ilvl w:val="0"/>
          <w:numId w:val="1"/>
        </w:numPr>
        <w:spacing w:after="0"/>
      </w:pPr>
      <w:r w:rsidRPr="001B67BE">
        <w:t>Individual s</w:t>
      </w:r>
      <w:r w:rsidR="007746E2" w:rsidRPr="001B67BE">
        <w:t xml:space="preserve">ponsor(s): </w:t>
      </w:r>
    </w:p>
    <w:p w14:paraId="69C36171" w14:textId="77777777" w:rsidR="00AF5D1B" w:rsidRDefault="00AF5D1B" w:rsidP="00AF5D1B">
      <w:pPr>
        <w:pStyle w:val="ListParagraph"/>
        <w:spacing w:after="0"/>
        <w:ind w:left="900"/>
        <w:rPr>
          <w:i/>
          <w:color w:val="2E74B5" w:themeColor="accent1" w:themeShade="BF"/>
        </w:rPr>
      </w:pPr>
    </w:p>
    <w:p w14:paraId="0DB32DFC" w14:textId="5710B9D7" w:rsidR="007746E2" w:rsidRPr="00AF5D1B" w:rsidRDefault="00826F9F" w:rsidP="00AF5D1B">
      <w:pPr>
        <w:pStyle w:val="ListParagraph"/>
        <w:spacing w:after="0"/>
        <w:ind w:left="900"/>
      </w:pPr>
      <w:r w:rsidRPr="00AF5D1B">
        <w:rPr>
          <w:i/>
          <w:color w:val="2E74B5" w:themeColor="accent1" w:themeShade="BF"/>
        </w:rPr>
        <w:t>J</w:t>
      </w:r>
      <w:r w:rsidR="00F57E01" w:rsidRPr="00AF5D1B">
        <w:rPr>
          <w:i/>
          <w:color w:val="2E74B5" w:themeColor="accent1" w:themeShade="BF"/>
        </w:rPr>
        <w:t>.</w:t>
      </w:r>
      <w:r w:rsidRPr="00AF5D1B">
        <w:rPr>
          <w:i/>
          <w:color w:val="2E74B5" w:themeColor="accent1" w:themeShade="BF"/>
        </w:rPr>
        <w:t xml:space="preserve"> Wilcox</w:t>
      </w:r>
      <w:r w:rsidR="00BE5F45" w:rsidRPr="00AF5D1B">
        <w:rPr>
          <w:i/>
          <w:color w:val="2E74B5" w:themeColor="accent1" w:themeShade="BF"/>
        </w:rPr>
        <w:t xml:space="preserve"> &amp; </w:t>
      </w:r>
      <w:r w:rsidRPr="00AF5D1B">
        <w:rPr>
          <w:i/>
          <w:color w:val="2E74B5" w:themeColor="accent1" w:themeShade="BF"/>
        </w:rPr>
        <w:t>M</w:t>
      </w:r>
      <w:r w:rsidR="001B67BE" w:rsidRPr="00AF5D1B">
        <w:rPr>
          <w:i/>
          <w:color w:val="2E74B5" w:themeColor="accent1" w:themeShade="BF"/>
        </w:rPr>
        <w:t>.</w:t>
      </w:r>
      <w:r w:rsidRPr="00AF5D1B">
        <w:rPr>
          <w:i/>
          <w:color w:val="2E74B5" w:themeColor="accent1" w:themeShade="BF"/>
        </w:rPr>
        <w:t xml:space="preserve"> McDade</w:t>
      </w:r>
      <w:r w:rsidR="00F57E01" w:rsidRPr="00AF5D1B">
        <w:rPr>
          <w:i/>
          <w:color w:val="2E74B5" w:themeColor="accent1" w:themeShade="BF"/>
        </w:rPr>
        <w:t xml:space="preserve"> - </w:t>
      </w:r>
      <w:r w:rsidRPr="00AF5D1B">
        <w:rPr>
          <w:i/>
          <w:color w:val="2E74B5" w:themeColor="accent1" w:themeShade="BF"/>
        </w:rPr>
        <w:t>Williams</w:t>
      </w:r>
    </w:p>
    <w:p w14:paraId="2DF7D040" w14:textId="77777777" w:rsidR="000B01A4" w:rsidRPr="001B67BE" w:rsidRDefault="000B01A4" w:rsidP="000B01A4">
      <w:pPr>
        <w:spacing w:after="0"/>
      </w:pPr>
    </w:p>
    <w:p w14:paraId="7F488D41" w14:textId="5328B2C9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29F9EEEF" w14:textId="77777777" w:rsidR="00AF5D1B" w:rsidRDefault="00AF5D1B" w:rsidP="00111015">
      <w:pPr>
        <w:pStyle w:val="ListParagraph"/>
        <w:spacing w:after="0"/>
        <w:ind w:left="900"/>
        <w:jc w:val="both"/>
      </w:pPr>
    </w:p>
    <w:p w14:paraId="1D5FEC54" w14:textId="1A2B4D6C" w:rsidR="00E9081E" w:rsidRPr="001B67BE" w:rsidRDefault="00826F9F" w:rsidP="00111015">
      <w:pPr>
        <w:spacing w:after="0"/>
        <w:ind w:left="900"/>
        <w:jc w:val="both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 xml:space="preserve">The Taxation/Revenue/Regulatory Structure Working Group recommends that the </w:t>
      </w:r>
      <w:r w:rsidR="00FB3FFC">
        <w:rPr>
          <w:i/>
          <w:color w:val="2E74B5" w:themeColor="accent1" w:themeShade="BF"/>
        </w:rPr>
        <w:t xml:space="preserve">revised agent </w:t>
      </w:r>
      <w:r w:rsidR="00134DF9">
        <w:rPr>
          <w:i/>
          <w:color w:val="2E74B5" w:themeColor="accent1" w:themeShade="BF"/>
        </w:rPr>
        <w:t xml:space="preserve">card application process </w:t>
      </w:r>
      <w:r w:rsidR="00B3636B" w:rsidRPr="001B67BE">
        <w:rPr>
          <w:i/>
          <w:color w:val="2E74B5" w:themeColor="accent1" w:themeShade="BF"/>
        </w:rPr>
        <w:t>as pursuant to</w:t>
      </w:r>
      <w:r w:rsidR="00FB3FFC">
        <w:rPr>
          <w:i/>
          <w:color w:val="2E74B5" w:themeColor="accent1" w:themeShade="BF"/>
        </w:rPr>
        <w:t xml:space="preserve"> Assembly Bill No. 422 </w:t>
      </w:r>
      <w:r w:rsidR="00B3636B" w:rsidRPr="001B67BE">
        <w:rPr>
          <w:i/>
          <w:color w:val="2E74B5" w:themeColor="accent1" w:themeShade="BF"/>
        </w:rPr>
        <w:t xml:space="preserve">be </w:t>
      </w:r>
      <w:r w:rsidR="00FB3FFC">
        <w:rPr>
          <w:i/>
          <w:color w:val="2E74B5" w:themeColor="accent1" w:themeShade="BF"/>
        </w:rPr>
        <w:t xml:space="preserve">applied to recreational licenses </w:t>
      </w:r>
      <w:r w:rsidR="009705DB" w:rsidRPr="001B67BE">
        <w:rPr>
          <w:i/>
          <w:color w:val="2E74B5" w:themeColor="accent1" w:themeShade="BF"/>
        </w:rPr>
        <w:t>(</w:t>
      </w:r>
      <w:r w:rsidR="00FB3FFC">
        <w:rPr>
          <w:i/>
          <w:color w:val="2E74B5" w:themeColor="accent1" w:themeShade="BF"/>
        </w:rPr>
        <w:t>revised provisions related AB 422</w:t>
      </w:r>
      <w:r w:rsidR="003F0A6A" w:rsidRPr="001B67BE">
        <w:rPr>
          <w:i/>
          <w:color w:val="2E74B5" w:themeColor="accent1" w:themeShade="BF"/>
        </w:rPr>
        <w:t xml:space="preserve"> </w:t>
      </w:r>
      <w:r w:rsidR="009705DB" w:rsidRPr="001B67BE">
        <w:rPr>
          <w:i/>
          <w:color w:val="2E74B5" w:themeColor="accent1" w:themeShade="BF"/>
        </w:rPr>
        <w:t xml:space="preserve">outlined </w:t>
      </w:r>
      <w:r w:rsidR="003F0A6A" w:rsidRPr="001B67BE">
        <w:rPr>
          <w:i/>
          <w:color w:val="2E74B5" w:themeColor="accent1" w:themeShade="BF"/>
        </w:rPr>
        <w:t>below</w:t>
      </w:r>
      <w:r w:rsidR="00134DF9">
        <w:rPr>
          <w:i/>
          <w:color w:val="2E74B5" w:themeColor="accent1" w:themeShade="BF"/>
        </w:rPr>
        <w:t>)</w:t>
      </w:r>
      <w:r w:rsidR="00B3636B" w:rsidRPr="001B67BE">
        <w:rPr>
          <w:i/>
          <w:color w:val="2E74B5" w:themeColor="accent1" w:themeShade="BF"/>
        </w:rPr>
        <w:t>:</w:t>
      </w:r>
    </w:p>
    <w:p w14:paraId="38ABF518" w14:textId="37E67BCD" w:rsidR="006660C6" w:rsidRPr="001B67BE" w:rsidRDefault="006660C6" w:rsidP="00111015">
      <w:pPr>
        <w:spacing w:after="0"/>
        <w:ind w:left="720"/>
        <w:jc w:val="both"/>
        <w:rPr>
          <w:i/>
          <w:color w:val="2E74B5" w:themeColor="accent1" w:themeShade="BF"/>
        </w:rPr>
      </w:pPr>
    </w:p>
    <w:p w14:paraId="0074AC93" w14:textId="77777777" w:rsidR="00B3636B" w:rsidRPr="001B67BE" w:rsidRDefault="00B3636B" w:rsidP="0011101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cs="TimesNewRoman"/>
          <w:i/>
          <w:color w:val="2E74B5" w:themeColor="accent1" w:themeShade="BF"/>
        </w:rPr>
      </w:pPr>
      <w:r w:rsidRPr="001B67BE">
        <w:rPr>
          <w:rFonts w:cs="TimesNewRoman"/>
          <w:i/>
          <w:color w:val="2E74B5" w:themeColor="accent1" w:themeShade="BF"/>
        </w:rPr>
        <w:t>Existing law requires a medical marijuana establishment that wishes to retain as a volunteer or employ or contract with a person to provide labor to the medical marijuana establishment to submit an application to register the person as a medical marijuana establishment agent. (NRS 453A.332)</w:t>
      </w:r>
    </w:p>
    <w:p w14:paraId="724F7847" w14:textId="77777777" w:rsidR="00B3636B" w:rsidRPr="001B67BE" w:rsidRDefault="00B3636B" w:rsidP="0011101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</w:p>
    <w:p w14:paraId="2016A950" w14:textId="0B43BA79" w:rsidR="00F57E01" w:rsidRPr="001B67BE" w:rsidRDefault="00B3636B" w:rsidP="001110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  <w:r w:rsidRPr="001B67BE">
        <w:rPr>
          <w:rFonts w:cs="TimesNewRoman,Bold"/>
          <w:b/>
          <w:bCs/>
          <w:i/>
          <w:color w:val="2E74B5" w:themeColor="accent1" w:themeShade="BF"/>
        </w:rPr>
        <w:t xml:space="preserve">Section 31 </w:t>
      </w:r>
      <w:r w:rsidRPr="001B67BE">
        <w:rPr>
          <w:rFonts w:cs="TimesNewRoman"/>
          <w:i/>
          <w:color w:val="2E74B5" w:themeColor="accent1" w:themeShade="BF"/>
        </w:rPr>
        <w:t xml:space="preserve">of the AB422 bill allows such a person to submit an application for registration as a medical marijuana establishment agent on his or her own behalf. </w:t>
      </w:r>
    </w:p>
    <w:p w14:paraId="40557093" w14:textId="77777777" w:rsidR="00F57E01" w:rsidRPr="001B67BE" w:rsidRDefault="00F57E01" w:rsidP="00111015">
      <w:pPr>
        <w:pStyle w:val="ListParagraph"/>
        <w:autoSpaceDE w:val="0"/>
        <w:autoSpaceDN w:val="0"/>
        <w:adjustRightInd w:val="0"/>
        <w:spacing w:after="0" w:line="240" w:lineRule="auto"/>
        <w:ind w:left="1620"/>
        <w:jc w:val="both"/>
        <w:rPr>
          <w:rFonts w:cs="TimesNewRoman"/>
          <w:i/>
          <w:color w:val="2E74B5" w:themeColor="accent1" w:themeShade="BF"/>
        </w:rPr>
      </w:pPr>
    </w:p>
    <w:p w14:paraId="21A0B71B" w14:textId="28CC8F38" w:rsidR="00F57E01" w:rsidRPr="001B67BE" w:rsidRDefault="00B3636B" w:rsidP="001110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  <w:r w:rsidRPr="001B67BE">
        <w:rPr>
          <w:rFonts w:cs="TimesNewRoman,Bold"/>
          <w:b/>
          <w:bCs/>
          <w:i/>
          <w:color w:val="2E74B5" w:themeColor="accent1" w:themeShade="BF"/>
        </w:rPr>
        <w:t xml:space="preserve">Section 31 </w:t>
      </w:r>
      <w:r w:rsidRPr="001B67BE">
        <w:rPr>
          <w:rFonts w:cs="TimesNewRoman"/>
          <w:i/>
          <w:color w:val="2E74B5" w:themeColor="accent1" w:themeShade="BF"/>
        </w:rPr>
        <w:t xml:space="preserve">also provides for the temporary registration of a person as a medical marijuana establishment agent upon submission of a complete application for registration or renewal of registration.  </w:t>
      </w:r>
    </w:p>
    <w:p w14:paraId="57823181" w14:textId="77777777" w:rsidR="00F57E01" w:rsidRPr="001B67BE" w:rsidRDefault="00F57E01" w:rsidP="00111015">
      <w:pPr>
        <w:pStyle w:val="ListParagraph"/>
        <w:jc w:val="both"/>
        <w:rPr>
          <w:rFonts w:cs="TimesNewRoman"/>
          <w:i/>
          <w:color w:val="2E74B5" w:themeColor="accent1" w:themeShade="BF"/>
        </w:rPr>
      </w:pPr>
    </w:p>
    <w:p w14:paraId="1D33A0C2" w14:textId="7C9F6DC9" w:rsidR="00B3636B" w:rsidRPr="001B67BE" w:rsidRDefault="00F57E01" w:rsidP="001110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  <w:r w:rsidRPr="001B67BE">
        <w:rPr>
          <w:rFonts w:cs="TimesNewRoman,Bold"/>
          <w:b/>
          <w:bCs/>
          <w:i/>
          <w:color w:val="2E74B5" w:themeColor="accent1" w:themeShade="BF"/>
        </w:rPr>
        <w:t>S</w:t>
      </w:r>
      <w:r w:rsidR="00B3636B" w:rsidRPr="001B67BE">
        <w:rPr>
          <w:rFonts w:cs="TimesNewRoman,Bold"/>
          <w:b/>
          <w:bCs/>
          <w:i/>
          <w:color w:val="2E74B5" w:themeColor="accent1" w:themeShade="BF"/>
        </w:rPr>
        <w:t xml:space="preserve">ection 31 </w:t>
      </w:r>
      <w:r w:rsidR="00B3636B" w:rsidRPr="001B67BE">
        <w:rPr>
          <w:rFonts w:cs="TimesNewRoman"/>
          <w:i/>
          <w:color w:val="2E74B5" w:themeColor="accent1" w:themeShade="BF"/>
        </w:rPr>
        <w:t>allows an independent contractor or employee of an independent contractor who is registered as a medical marijuana establishment agent to provide labor to any medical marijuana establishment and any other person who is registered as a medical marijuana establishment agent to work or volunteer at any medical marijuana establishment for which the category of the person’s medical marijuana establishment agent card is valid.</w:t>
      </w:r>
    </w:p>
    <w:p w14:paraId="3A167305" w14:textId="77777777" w:rsidR="00134DF9" w:rsidRPr="00111015" w:rsidRDefault="00134DF9" w:rsidP="00111015">
      <w:pPr>
        <w:pStyle w:val="ListParagraph"/>
        <w:jc w:val="both"/>
        <w:rPr>
          <w:i/>
          <w:color w:val="2E74B5" w:themeColor="accent1" w:themeShade="BF"/>
        </w:rPr>
      </w:pPr>
    </w:p>
    <w:p w14:paraId="4951FF2C" w14:textId="1B232B26" w:rsidR="00B3636B" w:rsidRPr="00111015" w:rsidRDefault="00FB3FFC" w:rsidP="00111015">
      <w:pPr>
        <w:pStyle w:val="ListParagraph"/>
        <w:ind w:left="900"/>
        <w:jc w:val="both"/>
        <w:rPr>
          <w:i/>
          <w:color w:val="2E74B5" w:themeColor="accent1" w:themeShade="BF"/>
        </w:rPr>
      </w:pPr>
      <w:r w:rsidRPr="00111015">
        <w:rPr>
          <w:i/>
          <w:color w:val="2E74B5" w:themeColor="accent1" w:themeShade="BF"/>
        </w:rPr>
        <w:t xml:space="preserve">The group recommends applying </w:t>
      </w:r>
      <w:r w:rsidR="00134DF9" w:rsidRPr="00111015">
        <w:rPr>
          <w:i/>
          <w:color w:val="2E74B5" w:themeColor="accent1" w:themeShade="BF"/>
        </w:rPr>
        <w:t xml:space="preserve">the proposed revisions above to the </w:t>
      </w:r>
      <w:r w:rsidRPr="00111015">
        <w:rPr>
          <w:i/>
          <w:color w:val="2E74B5" w:themeColor="accent1" w:themeShade="BF"/>
        </w:rPr>
        <w:t>recreational m</w:t>
      </w:r>
      <w:r w:rsidR="00134DF9" w:rsidRPr="00111015">
        <w:rPr>
          <w:i/>
          <w:color w:val="2E74B5" w:themeColor="accent1" w:themeShade="BF"/>
        </w:rPr>
        <w:t>arijuana agent card application process.</w:t>
      </w:r>
    </w:p>
    <w:p w14:paraId="263D20F5" w14:textId="77777777" w:rsidR="00134DF9" w:rsidRPr="001B67BE" w:rsidRDefault="00134DF9" w:rsidP="00B3636B">
      <w:pPr>
        <w:pStyle w:val="ListParagraph"/>
        <w:rPr>
          <w:color w:val="2E74B5" w:themeColor="accent1" w:themeShade="BF"/>
        </w:rPr>
      </w:pPr>
    </w:p>
    <w:p w14:paraId="527A1772" w14:textId="61A68C0B" w:rsidR="007A4A8C" w:rsidRDefault="00E9081E" w:rsidP="00315D2D">
      <w:pPr>
        <w:pStyle w:val="ListParagraph"/>
        <w:numPr>
          <w:ilvl w:val="0"/>
          <w:numId w:val="5"/>
        </w:numPr>
        <w:spacing w:after="0"/>
      </w:pPr>
      <w:r w:rsidRPr="003110FB">
        <w:t>What issue(s) does the recommendation resolve?</w:t>
      </w:r>
    </w:p>
    <w:p w14:paraId="4D577190" w14:textId="77777777" w:rsidR="001B67BE" w:rsidRPr="003110FB" w:rsidRDefault="001B67BE" w:rsidP="001B67BE">
      <w:pPr>
        <w:pStyle w:val="ListParagraph"/>
        <w:spacing w:after="0"/>
        <w:ind w:left="900"/>
      </w:pPr>
    </w:p>
    <w:p w14:paraId="0B19CD2E" w14:textId="68E1742C" w:rsidR="00F57E01" w:rsidRPr="00111015" w:rsidRDefault="006660C6" w:rsidP="00111015">
      <w:pPr>
        <w:spacing w:after="0"/>
        <w:ind w:left="900"/>
        <w:jc w:val="both"/>
        <w:rPr>
          <w:i/>
          <w:color w:val="2E74B5" w:themeColor="accent1" w:themeShade="BF"/>
        </w:rPr>
      </w:pPr>
      <w:r w:rsidRPr="00111015">
        <w:rPr>
          <w:i/>
          <w:color w:val="2E74B5" w:themeColor="accent1" w:themeShade="BF"/>
        </w:rPr>
        <w:t xml:space="preserve">This recommendation </w:t>
      </w:r>
      <w:r w:rsidR="004F2608" w:rsidRPr="00111015">
        <w:rPr>
          <w:i/>
          <w:color w:val="2E74B5" w:themeColor="accent1" w:themeShade="BF"/>
        </w:rPr>
        <w:t xml:space="preserve">would </w:t>
      </w:r>
      <w:r w:rsidR="004F2608" w:rsidRPr="00111015">
        <w:rPr>
          <w:rFonts w:ascii="Calibri" w:eastAsia="Times New Roman" w:hAnsi="Calibri"/>
          <w:i/>
          <w:color w:val="2E74B5" w:themeColor="accent1" w:themeShade="BF"/>
        </w:rPr>
        <w:t xml:space="preserve">ensure efficiency with recreational establishments as it relates to cards for agents and independent contractors: </w:t>
      </w:r>
    </w:p>
    <w:p w14:paraId="3428ECA9" w14:textId="77777777" w:rsidR="00F57E01" w:rsidRPr="004F2608" w:rsidRDefault="00F57E01" w:rsidP="00F57E01">
      <w:pPr>
        <w:spacing w:after="0"/>
        <w:ind w:left="900"/>
        <w:rPr>
          <w:i/>
          <w:color w:val="2E74B5" w:themeColor="accent1" w:themeShade="BF"/>
        </w:rPr>
      </w:pPr>
    </w:p>
    <w:p w14:paraId="1D1D2FEC" w14:textId="10FB4900" w:rsidR="00ED0ED2" w:rsidRPr="001B67BE" w:rsidRDefault="00ED0ED2" w:rsidP="00111015">
      <w:pPr>
        <w:pStyle w:val="ListParagraph"/>
        <w:numPr>
          <w:ilvl w:val="0"/>
          <w:numId w:val="7"/>
        </w:numPr>
        <w:spacing w:after="0"/>
        <w:jc w:val="both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>Allows potential employees to apply directly to the State to obtain registered agent card and allows them to work while card is pending; </w:t>
      </w:r>
    </w:p>
    <w:p w14:paraId="7CD68F0F" w14:textId="57B9AD75" w:rsidR="001B67BE" w:rsidRDefault="00ED0ED2" w:rsidP="001110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lastRenderedPageBreak/>
        <w:t>Allows agents and independent contractors to obtain one card for each type of facil</w:t>
      </w:r>
      <w:r w:rsidR="001B67BE" w:rsidRPr="001B67BE">
        <w:rPr>
          <w:i/>
          <w:color w:val="2E74B5" w:themeColor="accent1" w:themeShade="BF"/>
        </w:rPr>
        <w:t>ity rather than multiple cards</w:t>
      </w:r>
    </w:p>
    <w:p w14:paraId="2C77A1B9" w14:textId="2571E688" w:rsidR="001B67BE" w:rsidRDefault="001B67BE" w:rsidP="0011101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>Allows temporary registration of a person as an establishment agent</w:t>
      </w:r>
    </w:p>
    <w:p w14:paraId="4EB94A24" w14:textId="77777777" w:rsidR="00AF5D1B" w:rsidRPr="001B67BE" w:rsidRDefault="00AF5D1B" w:rsidP="00AF5D1B">
      <w:pPr>
        <w:pStyle w:val="ListParagraph"/>
        <w:spacing w:before="100" w:beforeAutospacing="1" w:after="100" w:afterAutospacing="1" w:line="240" w:lineRule="auto"/>
        <w:ind w:left="1620"/>
        <w:rPr>
          <w:i/>
          <w:color w:val="2E74B5" w:themeColor="accent1" w:themeShade="BF"/>
        </w:rPr>
      </w:pPr>
    </w:p>
    <w:p w14:paraId="7EE888FD" w14:textId="57F39BB4" w:rsidR="001B0ADC" w:rsidRPr="003110FB" w:rsidRDefault="001B0ADC" w:rsidP="00315D2D">
      <w:pPr>
        <w:pStyle w:val="ListParagraph"/>
        <w:numPr>
          <w:ilvl w:val="0"/>
          <w:numId w:val="5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433CE317" w:rsidR="00E9081E" w:rsidRPr="001B67BE" w:rsidRDefault="00ED0ED2" w:rsidP="00ED0ED2">
      <w:pPr>
        <w:spacing w:after="0"/>
        <w:ind w:left="900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315D2D">
      <w:pPr>
        <w:pStyle w:val="ListParagraph"/>
        <w:numPr>
          <w:ilvl w:val="0"/>
          <w:numId w:val="5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  <w:bookmarkStart w:id="0" w:name="_GoBack"/>
      <w:bookmarkEnd w:id="0"/>
    </w:p>
    <w:p w14:paraId="28E19D50" w14:textId="57EC7150" w:rsidR="00E9081E" w:rsidRPr="00AF5D1B" w:rsidRDefault="00BD5C43" w:rsidP="00111015">
      <w:pPr>
        <w:spacing w:after="0"/>
        <w:ind w:left="900"/>
        <w:jc w:val="both"/>
        <w:rPr>
          <w:i/>
          <w:color w:val="2E74B5" w:themeColor="accent1" w:themeShade="BF"/>
        </w:rPr>
      </w:pPr>
      <w:r w:rsidRPr="00AF5D1B">
        <w:rPr>
          <w:i/>
          <w:color w:val="2E74B5" w:themeColor="accent1" w:themeShade="BF"/>
        </w:rPr>
        <w:t xml:space="preserve">This recommendation should become part of the final recommendations for recreational marijuana licensing. 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09EDF5D2" w:rsidR="00DD1A10" w:rsidRDefault="00CC30A8" w:rsidP="00315D2D">
      <w:pPr>
        <w:pStyle w:val="ListParagraph"/>
        <w:numPr>
          <w:ilvl w:val="0"/>
          <w:numId w:val="5"/>
        </w:numPr>
        <w:spacing w:after="0"/>
      </w:pPr>
      <w:r w:rsidRPr="003110FB">
        <w:t xml:space="preserve">Additional information (cost of implementation, priority according to the recommendations, </w:t>
      </w:r>
      <w:r w:rsidR="008E7395" w:rsidRPr="003110FB">
        <w:t>etc.</w:t>
      </w:r>
      <w:r w:rsidRPr="003110FB">
        <w:t>)</w:t>
      </w:r>
      <w:r w:rsidR="00B70E4E" w:rsidRPr="003110FB">
        <w:t>.</w:t>
      </w:r>
    </w:p>
    <w:p w14:paraId="71DC42C2" w14:textId="77777777" w:rsidR="00AF5D1B" w:rsidRDefault="00AF5D1B" w:rsidP="00AF5D1B">
      <w:pPr>
        <w:pStyle w:val="ListParagraph"/>
        <w:spacing w:after="0"/>
        <w:ind w:left="900"/>
      </w:pPr>
    </w:p>
    <w:p w14:paraId="74604E9D" w14:textId="7C3D26BF" w:rsidR="00ED0ED2" w:rsidRPr="00AF5D1B" w:rsidRDefault="00ED0ED2" w:rsidP="00111015">
      <w:pPr>
        <w:spacing w:after="0"/>
        <w:ind w:left="900"/>
        <w:jc w:val="both"/>
        <w:rPr>
          <w:i/>
          <w:color w:val="2E74B5" w:themeColor="accent1" w:themeShade="BF"/>
        </w:rPr>
      </w:pPr>
      <w:r w:rsidRPr="00AF5D1B">
        <w:rPr>
          <w:i/>
          <w:color w:val="2E74B5" w:themeColor="accent1" w:themeShade="BF"/>
        </w:rPr>
        <w:t xml:space="preserve">This has been discussed at session (AB422), Assemblyman Araujo agreed to carry </w:t>
      </w:r>
      <w:r w:rsidR="00D2056E" w:rsidRPr="00AF5D1B">
        <w:rPr>
          <w:i/>
          <w:color w:val="2E74B5" w:themeColor="accent1" w:themeShade="BF"/>
        </w:rPr>
        <w:t>the</w:t>
      </w:r>
      <w:r w:rsidRPr="00AF5D1B">
        <w:rPr>
          <w:i/>
          <w:color w:val="2E74B5" w:themeColor="accent1" w:themeShade="BF"/>
        </w:rPr>
        <w:t xml:space="preserve"> </w:t>
      </w:r>
      <w:r w:rsidR="00D2056E" w:rsidRPr="00AF5D1B">
        <w:rPr>
          <w:i/>
          <w:color w:val="2E74B5" w:themeColor="accent1" w:themeShade="BF"/>
        </w:rPr>
        <w:t>revision of</w:t>
      </w:r>
      <w:r w:rsidRPr="00AF5D1B">
        <w:rPr>
          <w:i/>
          <w:color w:val="2E74B5" w:themeColor="accent1" w:themeShade="BF"/>
        </w:rPr>
        <w:t xml:space="preserve"> </w:t>
      </w:r>
      <w:r w:rsidR="00134DF9" w:rsidRPr="00AF5D1B">
        <w:rPr>
          <w:i/>
          <w:color w:val="2E74B5" w:themeColor="accent1" w:themeShade="BF"/>
        </w:rPr>
        <w:t xml:space="preserve">the </w:t>
      </w:r>
      <w:r w:rsidRPr="00AF5D1B">
        <w:rPr>
          <w:i/>
          <w:color w:val="2E74B5" w:themeColor="accent1" w:themeShade="BF"/>
        </w:rPr>
        <w:t xml:space="preserve">agent card </w:t>
      </w:r>
      <w:r w:rsidR="00D2056E" w:rsidRPr="00AF5D1B">
        <w:rPr>
          <w:i/>
          <w:color w:val="2E74B5" w:themeColor="accent1" w:themeShade="BF"/>
        </w:rPr>
        <w:t>application process</w:t>
      </w:r>
      <w:r w:rsidRPr="00AF5D1B">
        <w:rPr>
          <w:i/>
          <w:color w:val="2E74B5" w:themeColor="accent1" w:themeShade="BF"/>
        </w:rPr>
        <w:t xml:space="preserve">, and is on </w:t>
      </w:r>
      <w:r w:rsidR="008E7395" w:rsidRPr="00AF5D1B">
        <w:rPr>
          <w:i/>
          <w:color w:val="2E74B5" w:themeColor="accent1" w:themeShade="BF"/>
        </w:rPr>
        <w:t>its</w:t>
      </w:r>
      <w:r w:rsidRPr="00AF5D1B">
        <w:rPr>
          <w:i/>
          <w:color w:val="2E74B5" w:themeColor="accent1" w:themeShade="BF"/>
        </w:rPr>
        <w:t xml:space="preserve"> way to the Assembly floor.</w:t>
      </w:r>
    </w:p>
    <w:p w14:paraId="4E501902" w14:textId="77777777" w:rsidR="00AF5D1B" w:rsidRDefault="00AF5D1B" w:rsidP="00AF5D1B">
      <w:pPr>
        <w:spacing w:after="0"/>
        <w:rPr>
          <w:i/>
          <w:color w:val="2E74B5" w:themeColor="accent1" w:themeShade="BF"/>
        </w:rPr>
      </w:pPr>
    </w:p>
    <w:p w14:paraId="38D1B8CC" w14:textId="7F12C4C2" w:rsidR="009D7957" w:rsidRPr="00AF5D1B" w:rsidRDefault="009D7957" w:rsidP="00AF5D1B">
      <w:pPr>
        <w:spacing w:after="0"/>
        <w:ind w:left="180" w:firstLine="720"/>
        <w:rPr>
          <w:i/>
          <w:color w:val="2E74B5" w:themeColor="accent1" w:themeShade="BF"/>
        </w:rPr>
      </w:pPr>
      <w:r w:rsidRPr="00AF5D1B">
        <w:rPr>
          <w:i/>
          <w:color w:val="2E74B5" w:themeColor="accent1" w:themeShade="BF"/>
        </w:rPr>
        <w:t>See attached</w:t>
      </w:r>
      <w:r w:rsidR="00134DF9" w:rsidRPr="00AF5D1B">
        <w:rPr>
          <w:i/>
          <w:color w:val="2E74B5" w:themeColor="accent1" w:themeShade="BF"/>
        </w:rPr>
        <w:t xml:space="preserve"> for Section 31 of A. B. 422</w:t>
      </w:r>
    </w:p>
    <w:p w14:paraId="6BBB2368" w14:textId="66BF5BAF" w:rsidR="00753FA6" w:rsidRDefault="00753FA6" w:rsidP="007A4A8C">
      <w:pPr>
        <w:spacing w:after="0"/>
      </w:pPr>
    </w:p>
    <w:p w14:paraId="562D3478" w14:textId="64764405" w:rsidR="00B3636B" w:rsidRDefault="00B3636B" w:rsidP="007A4A8C">
      <w:pPr>
        <w:spacing w:after="0"/>
      </w:pPr>
    </w:p>
    <w:p w14:paraId="281C5753" w14:textId="624EC705" w:rsidR="00134DF9" w:rsidRDefault="00134DF9" w:rsidP="007A4A8C">
      <w:pPr>
        <w:spacing w:after="0"/>
      </w:pPr>
    </w:p>
    <w:p w14:paraId="0335E9AE" w14:textId="46526A0A" w:rsidR="00134DF9" w:rsidRDefault="00134DF9" w:rsidP="007A4A8C">
      <w:pPr>
        <w:spacing w:after="0"/>
      </w:pPr>
    </w:p>
    <w:p w14:paraId="62BAD374" w14:textId="77777777" w:rsidR="00134DF9" w:rsidRDefault="00134DF9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sectPr w:rsidR="00CC30A8" w:rsidRPr="003110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9564" w14:textId="77777777" w:rsidR="00F5628B" w:rsidRDefault="00F5628B" w:rsidP="00391997">
      <w:pPr>
        <w:spacing w:after="0" w:line="240" w:lineRule="auto"/>
      </w:pPr>
      <w:r>
        <w:separator/>
      </w:r>
    </w:p>
  </w:endnote>
  <w:endnote w:type="continuationSeparator" w:id="0">
    <w:p w14:paraId="45489498" w14:textId="77777777" w:rsidR="00F5628B" w:rsidRDefault="00F5628B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109F6A2F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80E9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AF5D1B">
      <w:rPr>
        <w:rFonts w:ascii="Calibri" w:eastAsia="Times New Roman" w:hAnsi="Calibri" w:cs="Times New Roman"/>
        <w:b/>
        <w:i/>
        <w:color w:val="3737A5"/>
        <w:sz w:val="16"/>
        <w:szCs w:val="16"/>
      </w:rPr>
      <w:t>Agent Card Requirements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AF5D1B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May 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1</w:t>
    </w:r>
    <w:r w:rsidR="00AF5D1B">
      <w:rPr>
        <w:rFonts w:ascii="Calibri" w:eastAsia="Times New Roman" w:hAnsi="Calibri" w:cs="Times New Roman"/>
        <w:bCs/>
        <w:i/>
        <w:color w:val="3737A5"/>
        <w:sz w:val="16"/>
        <w:szCs w:val="16"/>
      </w:rPr>
      <w:t>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381C" w14:textId="77777777" w:rsidR="00F5628B" w:rsidRDefault="00F5628B" w:rsidP="00391997">
      <w:pPr>
        <w:spacing w:after="0" w:line="240" w:lineRule="auto"/>
      </w:pPr>
      <w:r>
        <w:separator/>
      </w:r>
    </w:p>
  </w:footnote>
  <w:footnote w:type="continuationSeparator" w:id="0">
    <w:p w14:paraId="26D9CE9F" w14:textId="77777777" w:rsidR="00F5628B" w:rsidRDefault="00F5628B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52907E98" w:rsidR="00F43822" w:rsidRPr="00F43822" w:rsidRDefault="00AF5D1B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Agent Card Requirements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092C"/>
    <w:multiLevelType w:val="hybridMultilevel"/>
    <w:tmpl w:val="39F256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C096FCB"/>
    <w:multiLevelType w:val="hybridMultilevel"/>
    <w:tmpl w:val="3F642C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3CA2646"/>
    <w:multiLevelType w:val="hybridMultilevel"/>
    <w:tmpl w:val="0CEABB5C"/>
    <w:lvl w:ilvl="0" w:tplc="2AC8C8A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F14"/>
    <w:multiLevelType w:val="multilevel"/>
    <w:tmpl w:val="8974BA1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3516C"/>
    <w:multiLevelType w:val="hybridMultilevel"/>
    <w:tmpl w:val="EB50F2F6"/>
    <w:lvl w:ilvl="0" w:tplc="F472400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A61D0"/>
    <w:rsid w:val="000B01A4"/>
    <w:rsid w:val="00111015"/>
    <w:rsid w:val="00114EF2"/>
    <w:rsid w:val="00134DF9"/>
    <w:rsid w:val="001866F9"/>
    <w:rsid w:val="001A6921"/>
    <w:rsid w:val="001B0ADC"/>
    <w:rsid w:val="001B10FF"/>
    <w:rsid w:val="001B67BE"/>
    <w:rsid w:val="00202E4C"/>
    <w:rsid w:val="0023729A"/>
    <w:rsid w:val="00281D66"/>
    <w:rsid w:val="00293713"/>
    <w:rsid w:val="003110FB"/>
    <w:rsid w:val="00315D2D"/>
    <w:rsid w:val="00391997"/>
    <w:rsid w:val="003F0A6A"/>
    <w:rsid w:val="004039AB"/>
    <w:rsid w:val="00417C80"/>
    <w:rsid w:val="00435662"/>
    <w:rsid w:val="00442A3F"/>
    <w:rsid w:val="004F2608"/>
    <w:rsid w:val="00565923"/>
    <w:rsid w:val="005E102D"/>
    <w:rsid w:val="006660C6"/>
    <w:rsid w:val="006B0A7E"/>
    <w:rsid w:val="006D4662"/>
    <w:rsid w:val="00700DCA"/>
    <w:rsid w:val="00734DD7"/>
    <w:rsid w:val="00753FA6"/>
    <w:rsid w:val="007746E2"/>
    <w:rsid w:val="00774894"/>
    <w:rsid w:val="007765FD"/>
    <w:rsid w:val="00777545"/>
    <w:rsid w:val="007A4A8C"/>
    <w:rsid w:val="00826F9F"/>
    <w:rsid w:val="008313F9"/>
    <w:rsid w:val="00882EE9"/>
    <w:rsid w:val="008D5094"/>
    <w:rsid w:val="008E7395"/>
    <w:rsid w:val="008F0634"/>
    <w:rsid w:val="009201F4"/>
    <w:rsid w:val="009264B2"/>
    <w:rsid w:val="00957E83"/>
    <w:rsid w:val="00961D8A"/>
    <w:rsid w:val="009705DB"/>
    <w:rsid w:val="009805E6"/>
    <w:rsid w:val="009914EB"/>
    <w:rsid w:val="00996A51"/>
    <w:rsid w:val="009D1938"/>
    <w:rsid w:val="009D7957"/>
    <w:rsid w:val="00A312E6"/>
    <w:rsid w:val="00A65F54"/>
    <w:rsid w:val="00AB71F7"/>
    <w:rsid w:val="00AF5D1B"/>
    <w:rsid w:val="00B11C15"/>
    <w:rsid w:val="00B3636B"/>
    <w:rsid w:val="00B70E4E"/>
    <w:rsid w:val="00BC0B03"/>
    <w:rsid w:val="00BC0F10"/>
    <w:rsid w:val="00BD5C43"/>
    <w:rsid w:val="00BE5F45"/>
    <w:rsid w:val="00BF6BBC"/>
    <w:rsid w:val="00CC30A8"/>
    <w:rsid w:val="00D2056E"/>
    <w:rsid w:val="00D22E65"/>
    <w:rsid w:val="00D926ED"/>
    <w:rsid w:val="00DA287B"/>
    <w:rsid w:val="00DC4C91"/>
    <w:rsid w:val="00DD1A10"/>
    <w:rsid w:val="00DE0ABD"/>
    <w:rsid w:val="00E9081E"/>
    <w:rsid w:val="00E96CEA"/>
    <w:rsid w:val="00EC03A5"/>
    <w:rsid w:val="00ED0ED2"/>
    <w:rsid w:val="00EE36BF"/>
    <w:rsid w:val="00F046BC"/>
    <w:rsid w:val="00F27CF2"/>
    <w:rsid w:val="00F43822"/>
    <w:rsid w:val="00F5628B"/>
    <w:rsid w:val="00F57E01"/>
    <w:rsid w:val="00FB3FFC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E8F05357-7C2C-4D4B-BFE2-6D97DACC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3188-9DBE-44A4-BF69-6E1BD103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6</cp:revision>
  <cp:lastPrinted>2017-04-25T20:54:00Z</cp:lastPrinted>
  <dcterms:created xsi:type="dcterms:W3CDTF">2017-04-26T21:12:00Z</dcterms:created>
  <dcterms:modified xsi:type="dcterms:W3CDTF">2017-04-26T21:14:00Z</dcterms:modified>
</cp:coreProperties>
</file>